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88" w:rsidRPr="00863288" w:rsidRDefault="00863288" w:rsidP="00863288">
      <w:pPr>
        <w:tabs>
          <w:tab w:val="right" w:pos="9000"/>
        </w:tabs>
        <w:ind w:left="-709"/>
        <w:jc w:val="center"/>
        <w:outlineLvl w:val="0"/>
        <w:rPr>
          <w:rFonts w:ascii="Arial" w:eastAsia="Batang" w:hAnsi="Arial" w:cs="Arial"/>
          <w:b/>
          <w:bCs/>
          <w:sz w:val="22"/>
          <w:szCs w:val="22"/>
        </w:rPr>
      </w:pPr>
      <w:r w:rsidRPr="00863288">
        <w:rPr>
          <w:rFonts w:ascii="Arial" w:eastAsia="Batang" w:hAnsi="Arial" w:cs="Arial"/>
          <w:b/>
          <w:bCs/>
          <w:sz w:val="22"/>
          <w:szCs w:val="22"/>
        </w:rPr>
        <w:t>REGULAMENTO PARA O EXERCÍCIO AUTÓNOMO DA MEDICINA</w:t>
      </w:r>
    </w:p>
    <w:p w:rsidR="00863288" w:rsidRPr="00863288" w:rsidRDefault="00863288" w:rsidP="00863288">
      <w:pPr>
        <w:tabs>
          <w:tab w:val="right" w:pos="9000"/>
        </w:tabs>
        <w:ind w:left="-709"/>
        <w:jc w:val="center"/>
        <w:outlineLvl w:val="0"/>
        <w:rPr>
          <w:rFonts w:ascii="Arial" w:eastAsia="Batang" w:hAnsi="Arial" w:cs="Arial"/>
          <w:b/>
          <w:bCs/>
          <w:sz w:val="22"/>
          <w:szCs w:val="22"/>
        </w:rPr>
      </w:pPr>
    </w:p>
    <w:p w:rsidR="00863288" w:rsidRPr="00863288" w:rsidRDefault="00863288" w:rsidP="00863288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63288" w:rsidRPr="00863288" w:rsidRDefault="00863288" w:rsidP="0086328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63288">
        <w:rPr>
          <w:rFonts w:ascii="Arial" w:hAnsi="Arial" w:cs="Arial"/>
          <w:i/>
          <w:iCs/>
          <w:sz w:val="22"/>
          <w:szCs w:val="22"/>
        </w:rPr>
        <w:t xml:space="preserve">A autorização para o exercício autónomo da profissão médica pressupõe a demonstração pelo candidato de que possui os conhecimentos, aptidões clínicas e humanas que permitam, sem tutela, o exercício da medicina adequado em termos éticos e técnicos. </w:t>
      </w:r>
    </w:p>
    <w:p w:rsidR="00863288" w:rsidRPr="00863288" w:rsidRDefault="00863288" w:rsidP="0086328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63288">
        <w:rPr>
          <w:rFonts w:ascii="Arial" w:hAnsi="Arial" w:cs="Arial"/>
          <w:i/>
          <w:iCs/>
          <w:sz w:val="22"/>
          <w:szCs w:val="22"/>
        </w:rPr>
        <w:t xml:space="preserve">Torna-se, portanto, necessário definir com clareza as condições em que o médico pode exercer autonomamente a sua actividade. Nesse sentido, e ao abrigo das disposições conjugadas da alínea a) do artigo 6.º, alínea j) do artigo 64.º e alínea b) do artigo 57.º, todos </w:t>
      </w:r>
      <w:r w:rsidRPr="00863288">
        <w:rPr>
          <w:rFonts w:ascii="Arial" w:eastAsia="Batang" w:hAnsi="Arial" w:cs="Arial"/>
          <w:bCs/>
          <w:sz w:val="22"/>
          <w:szCs w:val="22"/>
        </w:rPr>
        <w:t>d</w:t>
      </w:r>
      <w:r w:rsidRPr="00863288">
        <w:rPr>
          <w:rFonts w:ascii="Arial" w:hAnsi="Arial" w:cs="Arial"/>
          <w:i/>
          <w:iCs/>
          <w:sz w:val="22"/>
          <w:szCs w:val="22"/>
        </w:rPr>
        <w:t>o Estatuto da Ordem dos Médicos, aprovado pelo Decreto-Lei n.º 282/77, de 5 de Julho, o Conselho Nacional Executivo e o Plenário dos Conselhos Regionais aprovam o seguinte:</w:t>
      </w:r>
    </w:p>
    <w:p w:rsidR="00863288" w:rsidRDefault="00863288" w:rsidP="00863288">
      <w:pPr>
        <w:tabs>
          <w:tab w:val="right" w:pos="9000"/>
        </w:tabs>
        <w:ind w:left="284"/>
        <w:jc w:val="center"/>
        <w:outlineLvl w:val="0"/>
        <w:rPr>
          <w:rFonts w:ascii="Arial" w:eastAsia="Batang" w:hAnsi="Arial" w:cs="Arial"/>
          <w:bCs/>
          <w:smallCaps/>
          <w:sz w:val="22"/>
          <w:szCs w:val="22"/>
          <w:u w:val="single"/>
        </w:rPr>
      </w:pPr>
    </w:p>
    <w:p w:rsidR="00863288" w:rsidRPr="00863288" w:rsidRDefault="00863288" w:rsidP="00863288">
      <w:pPr>
        <w:tabs>
          <w:tab w:val="right" w:pos="9000"/>
        </w:tabs>
        <w:ind w:left="284"/>
        <w:jc w:val="center"/>
        <w:outlineLvl w:val="0"/>
        <w:rPr>
          <w:rFonts w:ascii="Arial" w:eastAsia="Batang" w:hAnsi="Arial" w:cs="Arial"/>
          <w:bCs/>
          <w:smallCaps/>
          <w:sz w:val="22"/>
          <w:szCs w:val="22"/>
          <w:u w:val="single"/>
        </w:rPr>
      </w:pPr>
      <w:r w:rsidRPr="00863288">
        <w:rPr>
          <w:rFonts w:ascii="Arial" w:eastAsia="Batang" w:hAnsi="Arial" w:cs="Arial"/>
          <w:bCs/>
          <w:smallCaps/>
          <w:sz w:val="22"/>
          <w:szCs w:val="22"/>
          <w:u w:val="single"/>
        </w:rPr>
        <w:t>Regulamento para o exercício autónomo da medicina</w:t>
      </w:r>
    </w:p>
    <w:p w:rsidR="00863288" w:rsidRPr="00863288" w:rsidRDefault="00863288" w:rsidP="00863288">
      <w:pPr>
        <w:tabs>
          <w:tab w:val="right" w:pos="9000"/>
        </w:tabs>
        <w:ind w:left="284"/>
        <w:jc w:val="both"/>
        <w:rPr>
          <w:rFonts w:ascii="Arial" w:eastAsia="Batang" w:hAnsi="Arial" w:cs="Arial"/>
          <w:bCs/>
          <w:sz w:val="22"/>
          <w:szCs w:val="22"/>
        </w:rPr>
      </w:pPr>
    </w:p>
    <w:p w:rsidR="00863288" w:rsidRPr="00863288" w:rsidRDefault="00863288" w:rsidP="00863288">
      <w:pPr>
        <w:jc w:val="both"/>
        <w:rPr>
          <w:rFonts w:ascii="Arial" w:eastAsia="Batang" w:hAnsi="Arial" w:cs="Arial"/>
          <w:bCs/>
          <w:sz w:val="22"/>
          <w:szCs w:val="22"/>
        </w:rPr>
      </w:pPr>
      <w:r w:rsidRPr="00863288">
        <w:rPr>
          <w:rFonts w:ascii="Arial" w:eastAsia="Batang" w:hAnsi="Arial" w:cs="Arial"/>
          <w:bCs/>
          <w:sz w:val="22"/>
          <w:szCs w:val="22"/>
        </w:rPr>
        <w:t xml:space="preserve">1. A </w:t>
      </w:r>
      <w:r w:rsidRPr="00863288">
        <w:rPr>
          <w:rFonts w:ascii="Arial" w:hAnsi="Arial" w:cs="Arial"/>
          <w:iCs/>
          <w:sz w:val="22"/>
          <w:szCs w:val="22"/>
        </w:rPr>
        <w:t>Ordem</w:t>
      </w:r>
      <w:r w:rsidRPr="00863288">
        <w:rPr>
          <w:rFonts w:ascii="Arial" w:eastAsia="Batang" w:hAnsi="Arial" w:cs="Arial"/>
          <w:bCs/>
          <w:sz w:val="22"/>
          <w:szCs w:val="22"/>
        </w:rPr>
        <w:t xml:space="preserve"> dos Médicos confere autonomia para o exercício da Medicina após dois anos de frequência do internato médico com aproveitamento ou perante currículo considerado equivalente.</w:t>
      </w:r>
    </w:p>
    <w:p w:rsidR="00863288" w:rsidRPr="00863288" w:rsidRDefault="00863288" w:rsidP="00863288">
      <w:pPr>
        <w:tabs>
          <w:tab w:val="right" w:pos="9000"/>
        </w:tabs>
        <w:ind w:left="284"/>
        <w:jc w:val="both"/>
        <w:rPr>
          <w:rFonts w:ascii="Arial" w:eastAsia="Batang" w:hAnsi="Arial" w:cs="Arial"/>
          <w:bCs/>
          <w:sz w:val="22"/>
          <w:szCs w:val="22"/>
        </w:rPr>
      </w:pPr>
    </w:p>
    <w:p w:rsidR="00863288" w:rsidRPr="00863288" w:rsidRDefault="00863288" w:rsidP="00863288">
      <w:pPr>
        <w:jc w:val="both"/>
        <w:rPr>
          <w:rFonts w:ascii="Arial" w:eastAsia="Batang" w:hAnsi="Arial" w:cs="Arial"/>
          <w:bCs/>
          <w:sz w:val="22"/>
          <w:szCs w:val="22"/>
        </w:rPr>
      </w:pPr>
      <w:r w:rsidRPr="00863288">
        <w:rPr>
          <w:rFonts w:ascii="Arial" w:eastAsia="Batang" w:hAnsi="Arial" w:cs="Arial"/>
          <w:bCs/>
          <w:sz w:val="22"/>
          <w:szCs w:val="22"/>
        </w:rPr>
        <w:t>2. Os candidatos que frequentem o internato médico deverão fazer prova competente junto da Ordem dos Médicos em como completaram dois anos de internato com aproveitamento.</w:t>
      </w:r>
    </w:p>
    <w:p w:rsidR="00863288" w:rsidRPr="00863288" w:rsidRDefault="00863288" w:rsidP="00863288">
      <w:pPr>
        <w:ind w:left="284"/>
        <w:jc w:val="both"/>
        <w:rPr>
          <w:rFonts w:ascii="Arial" w:eastAsia="Batang" w:hAnsi="Arial" w:cs="Arial"/>
          <w:bCs/>
          <w:sz w:val="22"/>
          <w:szCs w:val="22"/>
        </w:rPr>
      </w:pPr>
    </w:p>
    <w:p w:rsidR="00863288" w:rsidRPr="00863288" w:rsidRDefault="00863288" w:rsidP="00863288">
      <w:pPr>
        <w:jc w:val="both"/>
        <w:rPr>
          <w:rFonts w:ascii="Arial" w:eastAsia="Batang" w:hAnsi="Arial" w:cs="Arial"/>
          <w:bCs/>
          <w:sz w:val="22"/>
          <w:szCs w:val="22"/>
        </w:rPr>
      </w:pPr>
      <w:r w:rsidRPr="00863288">
        <w:rPr>
          <w:rFonts w:ascii="Arial" w:eastAsia="Batang" w:hAnsi="Arial" w:cs="Arial"/>
          <w:bCs/>
          <w:sz w:val="22"/>
          <w:szCs w:val="22"/>
        </w:rPr>
        <w:t xml:space="preserve">3. Para os médicos não inscritos no internato médico será constituído um júri nacional que definirá os parâmetros gerais de acordo com os quais o currículo será considerado equivalente. </w:t>
      </w:r>
    </w:p>
    <w:p w:rsidR="00863288" w:rsidRPr="00863288" w:rsidRDefault="00863288" w:rsidP="00863288">
      <w:pPr>
        <w:ind w:left="284"/>
        <w:jc w:val="both"/>
        <w:rPr>
          <w:rFonts w:ascii="Arial" w:eastAsia="Batang" w:hAnsi="Arial" w:cs="Arial"/>
          <w:bCs/>
          <w:sz w:val="22"/>
          <w:szCs w:val="22"/>
        </w:rPr>
      </w:pPr>
      <w:r w:rsidRPr="00863288">
        <w:rPr>
          <w:rFonts w:ascii="Arial" w:eastAsia="Batang" w:hAnsi="Arial" w:cs="Arial"/>
          <w:bCs/>
          <w:sz w:val="22"/>
          <w:szCs w:val="22"/>
        </w:rPr>
        <w:t>§1- Sempre que entenda adequado, o júri poderá prescindir da discussão curricular com o candidato.</w:t>
      </w:r>
    </w:p>
    <w:p w:rsidR="00863288" w:rsidRPr="00863288" w:rsidRDefault="00863288" w:rsidP="00863288">
      <w:pPr>
        <w:tabs>
          <w:tab w:val="right" w:pos="9000"/>
        </w:tabs>
        <w:ind w:left="284"/>
        <w:jc w:val="both"/>
        <w:rPr>
          <w:rFonts w:ascii="Arial" w:eastAsia="Batang" w:hAnsi="Arial" w:cs="Arial"/>
          <w:bCs/>
          <w:sz w:val="22"/>
          <w:szCs w:val="22"/>
        </w:rPr>
      </w:pPr>
    </w:p>
    <w:p w:rsidR="00863288" w:rsidRPr="00863288" w:rsidRDefault="00863288" w:rsidP="00863288">
      <w:pPr>
        <w:jc w:val="both"/>
        <w:rPr>
          <w:rFonts w:ascii="Arial" w:eastAsia="Batang" w:hAnsi="Arial" w:cs="Arial"/>
          <w:bCs/>
          <w:sz w:val="22"/>
          <w:szCs w:val="22"/>
        </w:rPr>
      </w:pPr>
      <w:r w:rsidRPr="00863288">
        <w:rPr>
          <w:rFonts w:ascii="Arial" w:eastAsia="Batang" w:hAnsi="Arial" w:cs="Arial"/>
          <w:bCs/>
          <w:sz w:val="22"/>
          <w:szCs w:val="22"/>
        </w:rPr>
        <w:t>4. Os candidatos que não frequentem o internato médico deverão apresentar um currículo com um máximo de 3 páginas A4, do qual conste:</w:t>
      </w:r>
    </w:p>
    <w:p w:rsidR="00863288" w:rsidRPr="00863288" w:rsidRDefault="00863288" w:rsidP="00863288">
      <w:pPr>
        <w:tabs>
          <w:tab w:val="right" w:pos="9000"/>
        </w:tabs>
        <w:ind w:left="284"/>
        <w:jc w:val="both"/>
        <w:rPr>
          <w:rFonts w:ascii="Arial" w:eastAsia="Batang" w:hAnsi="Arial" w:cs="Arial"/>
          <w:bCs/>
          <w:sz w:val="22"/>
          <w:szCs w:val="22"/>
        </w:rPr>
      </w:pPr>
    </w:p>
    <w:p w:rsidR="00863288" w:rsidRPr="00863288" w:rsidRDefault="00863288" w:rsidP="00863288">
      <w:pPr>
        <w:tabs>
          <w:tab w:val="left" w:pos="851"/>
        </w:tabs>
        <w:ind w:left="851" w:hanging="284"/>
        <w:jc w:val="both"/>
        <w:rPr>
          <w:rFonts w:ascii="Arial" w:eastAsia="Batang" w:hAnsi="Arial" w:cs="Arial"/>
          <w:bCs/>
          <w:sz w:val="22"/>
          <w:szCs w:val="22"/>
        </w:rPr>
      </w:pPr>
      <w:r w:rsidRPr="00863288">
        <w:rPr>
          <w:rFonts w:ascii="Arial" w:eastAsia="Batang" w:hAnsi="Arial" w:cs="Arial"/>
          <w:bCs/>
          <w:sz w:val="22"/>
          <w:szCs w:val="22"/>
        </w:rPr>
        <w:t>a)</w:t>
      </w:r>
      <w:r w:rsidRPr="00863288">
        <w:rPr>
          <w:rFonts w:ascii="Arial" w:eastAsia="Batang" w:hAnsi="Arial" w:cs="Arial"/>
          <w:bCs/>
          <w:sz w:val="22"/>
          <w:szCs w:val="22"/>
        </w:rPr>
        <w:tab/>
        <w:t>Estágios de formação pós-graduada frequentados e respectiva avaliação, caso exista;</w:t>
      </w:r>
    </w:p>
    <w:p w:rsidR="00863288" w:rsidRPr="00863288" w:rsidRDefault="00863288" w:rsidP="00863288">
      <w:pPr>
        <w:tabs>
          <w:tab w:val="left" w:pos="851"/>
        </w:tabs>
        <w:ind w:left="851" w:hanging="284"/>
        <w:jc w:val="both"/>
        <w:rPr>
          <w:rFonts w:ascii="Arial" w:eastAsia="Batang" w:hAnsi="Arial" w:cs="Arial"/>
          <w:bCs/>
          <w:sz w:val="22"/>
          <w:szCs w:val="22"/>
        </w:rPr>
      </w:pPr>
      <w:r w:rsidRPr="00863288">
        <w:rPr>
          <w:rFonts w:ascii="Arial" w:eastAsia="Batang" w:hAnsi="Arial" w:cs="Arial"/>
          <w:bCs/>
          <w:sz w:val="22"/>
          <w:szCs w:val="22"/>
        </w:rPr>
        <w:t>b)</w:t>
      </w:r>
      <w:r w:rsidRPr="00863288">
        <w:rPr>
          <w:rFonts w:ascii="Arial" w:eastAsia="Batang" w:hAnsi="Arial" w:cs="Arial"/>
          <w:bCs/>
          <w:sz w:val="22"/>
          <w:szCs w:val="22"/>
        </w:rPr>
        <w:tab/>
        <w:t>Identificação dos estabelecimentos e serviços de saúde onde teve lugar a formação.</w:t>
      </w:r>
    </w:p>
    <w:p w:rsidR="00863288" w:rsidRPr="00863288" w:rsidRDefault="00863288" w:rsidP="00863288">
      <w:pPr>
        <w:tabs>
          <w:tab w:val="left" w:pos="851"/>
        </w:tabs>
        <w:ind w:left="851" w:hanging="284"/>
        <w:jc w:val="both"/>
        <w:rPr>
          <w:rFonts w:ascii="Arial" w:eastAsia="Batang" w:hAnsi="Arial" w:cs="Arial"/>
          <w:bCs/>
          <w:sz w:val="22"/>
          <w:szCs w:val="22"/>
        </w:rPr>
      </w:pPr>
      <w:r w:rsidRPr="00863288">
        <w:rPr>
          <w:rFonts w:ascii="Arial" w:eastAsia="Batang" w:hAnsi="Arial" w:cs="Arial"/>
          <w:bCs/>
          <w:sz w:val="22"/>
          <w:szCs w:val="22"/>
        </w:rPr>
        <w:t>c)</w:t>
      </w:r>
      <w:r w:rsidRPr="00863288">
        <w:rPr>
          <w:rFonts w:ascii="Arial" w:eastAsia="Batang" w:hAnsi="Arial" w:cs="Arial"/>
          <w:bCs/>
          <w:sz w:val="22"/>
          <w:szCs w:val="22"/>
        </w:rPr>
        <w:tab/>
        <w:t>Actividades desenvolvidas no decurso dos estágios, com informação dos respectivos directores de serviço.</w:t>
      </w:r>
    </w:p>
    <w:p w:rsidR="00863288" w:rsidRPr="00863288" w:rsidRDefault="00863288" w:rsidP="00863288">
      <w:pPr>
        <w:tabs>
          <w:tab w:val="left" w:pos="851"/>
        </w:tabs>
        <w:ind w:left="851" w:hanging="284"/>
        <w:jc w:val="both"/>
        <w:rPr>
          <w:rFonts w:ascii="Arial" w:eastAsia="Batang" w:hAnsi="Arial" w:cs="Arial"/>
          <w:bCs/>
          <w:sz w:val="22"/>
          <w:szCs w:val="22"/>
        </w:rPr>
      </w:pPr>
      <w:r w:rsidRPr="00863288">
        <w:rPr>
          <w:rFonts w:ascii="Arial" w:eastAsia="Batang" w:hAnsi="Arial" w:cs="Arial"/>
          <w:bCs/>
          <w:sz w:val="22"/>
          <w:szCs w:val="22"/>
        </w:rPr>
        <w:t>d)</w:t>
      </w:r>
      <w:r w:rsidRPr="00863288">
        <w:rPr>
          <w:rFonts w:ascii="Arial" w:eastAsia="Batang" w:hAnsi="Arial" w:cs="Arial"/>
          <w:bCs/>
          <w:sz w:val="22"/>
          <w:szCs w:val="22"/>
        </w:rPr>
        <w:tab/>
        <w:t>Outros dados curriculares considerados relevantes para o objecto deste Regulamento.</w:t>
      </w:r>
    </w:p>
    <w:p w:rsidR="00863288" w:rsidRPr="00863288" w:rsidRDefault="00863288" w:rsidP="00863288">
      <w:pPr>
        <w:tabs>
          <w:tab w:val="right" w:pos="9000"/>
        </w:tabs>
        <w:ind w:left="284"/>
        <w:jc w:val="both"/>
        <w:rPr>
          <w:rFonts w:ascii="Arial" w:eastAsia="Batang" w:hAnsi="Arial" w:cs="Arial"/>
          <w:bCs/>
          <w:sz w:val="22"/>
          <w:szCs w:val="22"/>
        </w:rPr>
      </w:pPr>
    </w:p>
    <w:p w:rsidR="00863288" w:rsidRPr="00863288" w:rsidRDefault="00863288" w:rsidP="00863288">
      <w:pPr>
        <w:jc w:val="both"/>
        <w:rPr>
          <w:rFonts w:ascii="Arial" w:eastAsia="Batang" w:hAnsi="Arial" w:cs="Arial"/>
          <w:bCs/>
          <w:sz w:val="22"/>
          <w:szCs w:val="22"/>
        </w:rPr>
      </w:pPr>
      <w:r w:rsidRPr="00863288">
        <w:rPr>
          <w:rFonts w:ascii="Arial" w:eastAsia="Batang" w:hAnsi="Arial" w:cs="Arial"/>
          <w:bCs/>
          <w:sz w:val="22"/>
          <w:szCs w:val="22"/>
        </w:rPr>
        <w:t>5. O júri é de âmbito nacional, nomeado pelo Conselho Nacional Executivo de entre os elementos do Conselho Nacional da Pós-Graduação e composto por um presidente, que será o Coordenador do CNPG, e dois vogais.</w:t>
      </w:r>
    </w:p>
    <w:p w:rsidR="00863288" w:rsidRPr="00863288" w:rsidRDefault="00863288" w:rsidP="00863288">
      <w:pPr>
        <w:tabs>
          <w:tab w:val="right" w:pos="9000"/>
        </w:tabs>
        <w:jc w:val="both"/>
        <w:rPr>
          <w:rFonts w:ascii="Arial" w:eastAsia="Batang" w:hAnsi="Arial" w:cs="Arial"/>
          <w:bCs/>
          <w:sz w:val="22"/>
          <w:szCs w:val="22"/>
        </w:rPr>
      </w:pPr>
    </w:p>
    <w:p w:rsidR="00863288" w:rsidRPr="00863288" w:rsidRDefault="00863288" w:rsidP="00863288">
      <w:pPr>
        <w:jc w:val="both"/>
        <w:rPr>
          <w:rFonts w:ascii="Arial" w:eastAsia="Batang" w:hAnsi="Arial" w:cs="Arial"/>
          <w:bCs/>
          <w:sz w:val="22"/>
          <w:szCs w:val="22"/>
        </w:rPr>
      </w:pPr>
      <w:r w:rsidRPr="00863288">
        <w:rPr>
          <w:rFonts w:ascii="Arial" w:eastAsia="Batang" w:hAnsi="Arial" w:cs="Arial"/>
          <w:bCs/>
          <w:sz w:val="22"/>
          <w:szCs w:val="22"/>
        </w:rPr>
        <w:t>5.1. A deliberação do Conselho Nacional Executivo que designar os membros do júri deverá ainda designar, para as situações de faltas e impedimentos dos membros efectivos, o membro efectivo que substitui o presidente e, pelo menos, dois vogais suplentes.</w:t>
      </w:r>
    </w:p>
    <w:p w:rsidR="00863288" w:rsidRPr="00863288" w:rsidRDefault="00863288" w:rsidP="00863288">
      <w:pPr>
        <w:tabs>
          <w:tab w:val="right" w:pos="9000"/>
        </w:tabs>
        <w:ind w:left="284"/>
        <w:jc w:val="both"/>
        <w:rPr>
          <w:rFonts w:ascii="Arial" w:eastAsia="Batang" w:hAnsi="Arial" w:cs="Arial"/>
          <w:bCs/>
          <w:sz w:val="22"/>
          <w:szCs w:val="22"/>
        </w:rPr>
      </w:pPr>
    </w:p>
    <w:p w:rsidR="00863288" w:rsidRPr="00863288" w:rsidRDefault="00863288" w:rsidP="00863288">
      <w:pPr>
        <w:jc w:val="both"/>
        <w:rPr>
          <w:rFonts w:ascii="Arial" w:eastAsia="Batang" w:hAnsi="Arial" w:cs="Arial"/>
          <w:bCs/>
          <w:sz w:val="22"/>
          <w:szCs w:val="22"/>
        </w:rPr>
      </w:pPr>
      <w:r w:rsidRPr="00863288">
        <w:rPr>
          <w:rFonts w:ascii="Arial" w:eastAsia="Batang" w:hAnsi="Arial" w:cs="Arial"/>
          <w:bCs/>
          <w:sz w:val="22"/>
          <w:szCs w:val="22"/>
        </w:rPr>
        <w:lastRenderedPageBreak/>
        <w:t>5.2. As deliberações do júri são tomadas por maioria.</w:t>
      </w:r>
    </w:p>
    <w:p w:rsidR="00863288" w:rsidRPr="00863288" w:rsidRDefault="00863288" w:rsidP="00863288">
      <w:pPr>
        <w:tabs>
          <w:tab w:val="right" w:pos="9000"/>
        </w:tabs>
        <w:ind w:left="284"/>
        <w:jc w:val="both"/>
        <w:rPr>
          <w:rFonts w:ascii="Arial" w:eastAsia="Batang" w:hAnsi="Arial" w:cs="Arial"/>
          <w:bCs/>
          <w:sz w:val="22"/>
          <w:szCs w:val="22"/>
        </w:rPr>
      </w:pPr>
    </w:p>
    <w:p w:rsidR="00863288" w:rsidRPr="00863288" w:rsidRDefault="00863288" w:rsidP="00863288">
      <w:pPr>
        <w:jc w:val="both"/>
        <w:rPr>
          <w:rFonts w:ascii="Arial" w:eastAsia="Batang" w:hAnsi="Arial" w:cs="Arial"/>
          <w:bCs/>
          <w:sz w:val="22"/>
          <w:szCs w:val="22"/>
        </w:rPr>
      </w:pPr>
      <w:r w:rsidRPr="00863288">
        <w:rPr>
          <w:rFonts w:ascii="Arial" w:eastAsia="Batang" w:hAnsi="Arial" w:cs="Arial"/>
          <w:bCs/>
          <w:sz w:val="22"/>
          <w:szCs w:val="22"/>
        </w:rPr>
        <w:t>5.3. De cada reunião do júri será lavrada acta, da qual devem constar o local, a data e a hora da reunião, a identificação de todos os participantes, os assuntos apreciados e as deliberações tomadas.</w:t>
      </w:r>
    </w:p>
    <w:p w:rsidR="00863288" w:rsidRPr="00863288" w:rsidRDefault="00863288" w:rsidP="00863288">
      <w:pPr>
        <w:tabs>
          <w:tab w:val="right" w:pos="9000"/>
        </w:tabs>
        <w:ind w:left="284"/>
        <w:jc w:val="both"/>
        <w:rPr>
          <w:rFonts w:ascii="Arial" w:eastAsia="Batang" w:hAnsi="Arial" w:cs="Arial"/>
          <w:bCs/>
          <w:sz w:val="22"/>
          <w:szCs w:val="22"/>
        </w:rPr>
      </w:pPr>
    </w:p>
    <w:p w:rsidR="00863288" w:rsidRPr="00863288" w:rsidRDefault="00863288" w:rsidP="00863288">
      <w:pPr>
        <w:jc w:val="both"/>
        <w:rPr>
          <w:rFonts w:ascii="Arial" w:eastAsia="Batang" w:hAnsi="Arial" w:cs="Arial"/>
          <w:bCs/>
          <w:sz w:val="22"/>
          <w:szCs w:val="22"/>
        </w:rPr>
      </w:pPr>
      <w:r w:rsidRPr="00863288">
        <w:rPr>
          <w:rFonts w:ascii="Arial" w:eastAsia="Batang" w:hAnsi="Arial" w:cs="Arial"/>
          <w:bCs/>
          <w:sz w:val="22"/>
          <w:szCs w:val="22"/>
        </w:rPr>
        <w:t>5.4. Das actas de reuniões em que seja feita a avaliação de candidatos deve constar a fundamentação clara e suficiente dessa avaliação atribuída pelo júri ou, em caso de não unanimidade, por cada membro do júri a cada candidato.</w:t>
      </w:r>
    </w:p>
    <w:p w:rsidR="00863288" w:rsidRPr="00863288" w:rsidRDefault="00863288" w:rsidP="00863288">
      <w:pPr>
        <w:tabs>
          <w:tab w:val="right" w:pos="9000"/>
        </w:tabs>
        <w:ind w:left="284"/>
        <w:jc w:val="both"/>
        <w:rPr>
          <w:rFonts w:ascii="Arial" w:eastAsia="Batang" w:hAnsi="Arial" w:cs="Arial"/>
          <w:bCs/>
          <w:sz w:val="22"/>
          <w:szCs w:val="22"/>
        </w:rPr>
      </w:pPr>
    </w:p>
    <w:p w:rsidR="00863288" w:rsidRPr="00863288" w:rsidRDefault="00863288" w:rsidP="00863288">
      <w:pPr>
        <w:jc w:val="both"/>
        <w:rPr>
          <w:rFonts w:ascii="Arial" w:eastAsia="Batang" w:hAnsi="Arial" w:cs="Arial"/>
          <w:bCs/>
          <w:sz w:val="22"/>
          <w:szCs w:val="22"/>
        </w:rPr>
      </w:pPr>
      <w:r w:rsidRPr="00863288">
        <w:rPr>
          <w:rFonts w:ascii="Arial" w:eastAsia="Batang" w:hAnsi="Arial" w:cs="Arial"/>
          <w:bCs/>
          <w:sz w:val="22"/>
          <w:szCs w:val="22"/>
        </w:rPr>
        <w:t xml:space="preserve">6. Compete ao júri: </w:t>
      </w:r>
    </w:p>
    <w:p w:rsidR="00863288" w:rsidRPr="00863288" w:rsidRDefault="00863288" w:rsidP="00863288">
      <w:pPr>
        <w:tabs>
          <w:tab w:val="right" w:pos="9000"/>
        </w:tabs>
        <w:ind w:left="284"/>
        <w:jc w:val="both"/>
        <w:rPr>
          <w:rFonts w:ascii="Arial" w:eastAsia="Batang" w:hAnsi="Arial" w:cs="Arial"/>
          <w:bCs/>
          <w:sz w:val="22"/>
          <w:szCs w:val="22"/>
        </w:rPr>
      </w:pPr>
    </w:p>
    <w:p w:rsidR="00863288" w:rsidRPr="00863288" w:rsidRDefault="00863288" w:rsidP="00863288">
      <w:pPr>
        <w:tabs>
          <w:tab w:val="left" w:pos="851"/>
          <w:tab w:val="right" w:pos="9000"/>
        </w:tabs>
        <w:ind w:left="851" w:hanging="284"/>
        <w:jc w:val="both"/>
        <w:rPr>
          <w:rFonts w:ascii="Arial" w:eastAsia="Batang" w:hAnsi="Arial" w:cs="Arial"/>
          <w:bCs/>
          <w:sz w:val="22"/>
          <w:szCs w:val="22"/>
        </w:rPr>
      </w:pPr>
      <w:r w:rsidRPr="00863288">
        <w:rPr>
          <w:rFonts w:ascii="Arial" w:eastAsia="Batang" w:hAnsi="Arial" w:cs="Arial"/>
          <w:bCs/>
          <w:sz w:val="22"/>
          <w:szCs w:val="22"/>
        </w:rPr>
        <w:t>a)</w:t>
      </w:r>
      <w:r w:rsidRPr="00863288">
        <w:rPr>
          <w:rFonts w:ascii="Arial" w:eastAsia="Batang" w:hAnsi="Arial" w:cs="Arial"/>
          <w:bCs/>
          <w:sz w:val="22"/>
          <w:szCs w:val="22"/>
        </w:rPr>
        <w:tab/>
        <w:t xml:space="preserve">Convocar as reuniões, através do seu presidente; </w:t>
      </w:r>
    </w:p>
    <w:p w:rsidR="00863288" w:rsidRPr="00863288" w:rsidRDefault="00863288" w:rsidP="00863288">
      <w:pPr>
        <w:tabs>
          <w:tab w:val="left" w:pos="851"/>
          <w:tab w:val="right" w:pos="9000"/>
        </w:tabs>
        <w:ind w:left="851" w:hanging="284"/>
        <w:jc w:val="both"/>
        <w:rPr>
          <w:rFonts w:ascii="Arial" w:eastAsia="Batang" w:hAnsi="Arial" w:cs="Arial"/>
          <w:bCs/>
          <w:sz w:val="22"/>
          <w:szCs w:val="22"/>
        </w:rPr>
      </w:pPr>
      <w:r w:rsidRPr="00863288">
        <w:rPr>
          <w:rFonts w:ascii="Arial" w:eastAsia="Batang" w:hAnsi="Arial" w:cs="Arial"/>
          <w:bCs/>
          <w:sz w:val="22"/>
          <w:szCs w:val="22"/>
        </w:rPr>
        <w:t>b)</w:t>
      </w:r>
      <w:r w:rsidRPr="00863288">
        <w:rPr>
          <w:rFonts w:ascii="Arial" w:eastAsia="Batang" w:hAnsi="Arial" w:cs="Arial"/>
          <w:bCs/>
          <w:sz w:val="22"/>
          <w:szCs w:val="22"/>
        </w:rPr>
        <w:tab/>
        <w:t xml:space="preserve">Decidir da admissibilidade dos candidatos e elaborar a correspondente lista; </w:t>
      </w:r>
    </w:p>
    <w:p w:rsidR="00863288" w:rsidRPr="00863288" w:rsidRDefault="00863288" w:rsidP="00863288">
      <w:pPr>
        <w:tabs>
          <w:tab w:val="left" w:pos="851"/>
          <w:tab w:val="right" w:pos="9000"/>
        </w:tabs>
        <w:ind w:left="851" w:hanging="284"/>
        <w:jc w:val="both"/>
        <w:rPr>
          <w:rFonts w:ascii="Arial" w:eastAsia="Batang" w:hAnsi="Arial" w:cs="Arial"/>
          <w:bCs/>
          <w:sz w:val="22"/>
          <w:szCs w:val="22"/>
        </w:rPr>
      </w:pPr>
      <w:r w:rsidRPr="00863288">
        <w:rPr>
          <w:rFonts w:ascii="Arial" w:eastAsia="Batang" w:hAnsi="Arial" w:cs="Arial"/>
          <w:bCs/>
          <w:sz w:val="22"/>
          <w:szCs w:val="22"/>
        </w:rPr>
        <w:t>c)</w:t>
      </w:r>
      <w:r w:rsidRPr="00863288">
        <w:rPr>
          <w:rFonts w:ascii="Arial" w:eastAsia="Batang" w:hAnsi="Arial" w:cs="Arial"/>
          <w:bCs/>
          <w:sz w:val="22"/>
          <w:szCs w:val="22"/>
        </w:rPr>
        <w:tab/>
        <w:t xml:space="preserve">Promover a audiência prévia dos candidatos a excluir; </w:t>
      </w:r>
    </w:p>
    <w:p w:rsidR="00863288" w:rsidRPr="00863288" w:rsidRDefault="00863288" w:rsidP="00863288">
      <w:pPr>
        <w:tabs>
          <w:tab w:val="left" w:pos="851"/>
          <w:tab w:val="right" w:pos="9000"/>
        </w:tabs>
        <w:ind w:left="851" w:hanging="284"/>
        <w:jc w:val="both"/>
        <w:rPr>
          <w:rFonts w:ascii="Arial" w:eastAsia="Batang" w:hAnsi="Arial" w:cs="Arial"/>
          <w:bCs/>
          <w:sz w:val="22"/>
          <w:szCs w:val="22"/>
        </w:rPr>
      </w:pPr>
      <w:r w:rsidRPr="00863288">
        <w:rPr>
          <w:rFonts w:ascii="Arial" w:eastAsia="Batang" w:hAnsi="Arial" w:cs="Arial"/>
          <w:bCs/>
          <w:sz w:val="22"/>
          <w:szCs w:val="22"/>
        </w:rPr>
        <w:t>d)</w:t>
      </w:r>
      <w:r w:rsidRPr="00863288">
        <w:rPr>
          <w:rFonts w:ascii="Arial" w:eastAsia="Batang" w:hAnsi="Arial" w:cs="Arial"/>
          <w:bCs/>
          <w:sz w:val="22"/>
          <w:szCs w:val="22"/>
        </w:rPr>
        <w:tab/>
        <w:t xml:space="preserve">Efectuar a avaliação curricular e elaborar a lista de resultado final; </w:t>
      </w:r>
    </w:p>
    <w:p w:rsidR="00863288" w:rsidRPr="00863288" w:rsidRDefault="00863288" w:rsidP="00863288">
      <w:pPr>
        <w:tabs>
          <w:tab w:val="left" w:pos="851"/>
          <w:tab w:val="right" w:pos="9000"/>
        </w:tabs>
        <w:ind w:left="851" w:hanging="284"/>
        <w:jc w:val="both"/>
        <w:rPr>
          <w:rFonts w:ascii="Arial" w:eastAsia="Batang" w:hAnsi="Arial" w:cs="Arial"/>
          <w:bCs/>
          <w:sz w:val="22"/>
          <w:szCs w:val="22"/>
        </w:rPr>
      </w:pPr>
      <w:r w:rsidRPr="00863288">
        <w:rPr>
          <w:rFonts w:ascii="Arial" w:eastAsia="Batang" w:hAnsi="Arial" w:cs="Arial"/>
          <w:bCs/>
          <w:sz w:val="22"/>
          <w:szCs w:val="22"/>
        </w:rPr>
        <w:t>e)</w:t>
      </w:r>
      <w:r w:rsidRPr="00863288">
        <w:rPr>
          <w:rFonts w:ascii="Arial" w:eastAsia="Batang" w:hAnsi="Arial" w:cs="Arial"/>
          <w:bCs/>
          <w:sz w:val="22"/>
          <w:szCs w:val="22"/>
        </w:rPr>
        <w:tab/>
        <w:t xml:space="preserve">Promover a audiência prévia dos candidatos constantes da lista de resultado final, de acordo com os artigos 100.º e seguintes do Código do Procedimento Administrativo; </w:t>
      </w:r>
    </w:p>
    <w:p w:rsidR="00863288" w:rsidRPr="00863288" w:rsidRDefault="00863288" w:rsidP="00863288">
      <w:pPr>
        <w:tabs>
          <w:tab w:val="left" w:pos="851"/>
          <w:tab w:val="right" w:pos="9000"/>
        </w:tabs>
        <w:ind w:left="851" w:hanging="284"/>
        <w:jc w:val="both"/>
        <w:rPr>
          <w:rFonts w:ascii="Arial" w:eastAsia="Batang" w:hAnsi="Arial" w:cs="Arial"/>
          <w:bCs/>
          <w:sz w:val="22"/>
          <w:szCs w:val="22"/>
        </w:rPr>
      </w:pPr>
      <w:r w:rsidRPr="00863288">
        <w:rPr>
          <w:rFonts w:ascii="Arial" w:eastAsia="Batang" w:hAnsi="Arial" w:cs="Arial"/>
          <w:bCs/>
          <w:sz w:val="22"/>
          <w:szCs w:val="22"/>
        </w:rPr>
        <w:t>f)</w:t>
      </w:r>
      <w:r w:rsidRPr="00863288">
        <w:rPr>
          <w:rFonts w:ascii="Arial" w:eastAsia="Batang" w:hAnsi="Arial" w:cs="Arial"/>
          <w:bCs/>
          <w:sz w:val="22"/>
          <w:szCs w:val="22"/>
        </w:rPr>
        <w:tab/>
        <w:t xml:space="preserve">Pronunciar-se sobre as respostas apresentadas pelos candidatos; </w:t>
      </w:r>
    </w:p>
    <w:p w:rsidR="00863288" w:rsidRPr="00863288" w:rsidRDefault="00863288" w:rsidP="00863288">
      <w:pPr>
        <w:tabs>
          <w:tab w:val="left" w:pos="851"/>
          <w:tab w:val="right" w:pos="9000"/>
        </w:tabs>
        <w:ind w:left="851" w:hanging="284"/>
        <w:jc w:val="both"/>
        <w:rPr>
          <w:rFonts w:ascii="Arial" w:eastAsia="Batang" w:hAnsi="Arial" w:cs="Arial"/>
          <w:bCs/>
          <w:sz w:val="22"/>
          <w:szCs w:val="22"/>
        </w:rPr>
      </w:pPr>
      <w:r w:rsidRPr="00863288">
        <w:rPr>
          <w:rFonts w:ascii="Arial" w:eastAsia="Batang" w:hAnsi="Arial" w:cs="Arial"/>
          <w:bCs/>
          <w:sz w:val="22"/>
          <w:szCs w:val="22"/>
        </w:rPr>
        <w:t>g)</w:t>
      </w:r>
      <w:r w:rsidRPr="00863288">
        <w:rPr>
          <w:rFonts w:ascii="Arial" w:eastAsia="Batang" w:hAnsi="Arial" w:cs="Arial"/>
          <w:bCs/>
          <w:sz w:val="22"/>
          <w:szCs w:val="22"/>
        </w:rPr>
        <w:tab/>
        <w:t xml:space="preserve">Submeter a homologação do Conselho Nacional Executivo as avaliações atribuídas. </w:t>
      </w:r>
    </w:p>
    <w:p w:rsidR="00863288" w:rsidRPr="00863288" w:rsidRDefault="00863288" w:rsidP="00863288">
      <w:pPr>
        <w:tabs>
          <w:tab w:val="left" w:pos="851"/>
          <w:tab w:val="right" w:pos="9000"/>
        </w:tabs>
        <w:ind w:left="851" w:hanging="284"/>
        <w:jc w:val="both"/>
        <w:rPr>
          <w:rFonts w:ascii="Arial" w:eastAsia="Batang" w:hAnsi="Arial" w:cs="Arial"/>
          <w:bCs/>
          <w:sz w:val="22"/>
          <w:szCs w:val="22"/>
        </w:rPr>
      </w:pPr>
    </w:p>
    <w:p w:rsidR="00863288" w:rsidRPr="00863288" w:rsidRDefault="00863288" w:rsidP="00863288">
      <w:pPr>
        <w:jc w:val="both"/>
        <w:rPr>
          <w:rFonts w:ascii="Arial" w:eastAsia="Batang" w:hAnsi="Arial" w:cs="Arial"/>
          <w:bCs/>
          <w:sz w:val="22"/>
          <w:szCs w:val="22"/>
        </w:rPr>
      </w:pPr>
      <w:r w:rsidRPr="00863288">
        <w:rPr>
          <w:rFonts w:ascii="Arial" w:eastAsia="Batang" w:hAnsi="Arial" w:cs="Arial"/>
          <w:bCs/>
          <w:sz w:val="22"/>
          <w:szCs w:val="22"/>
        </w:rPr>
        <w:t>7. O Conselho Nacional Executivo comunicará aos candidatos a homologação a que se refere a alínea g) do número anterior.</w:t>
      </w:r>
    </w:p>
    <w:p w:rsidR="00863288" w:rsidRPr="00863288" w:rsidRDefault="00863288" w:rsidP="00863288">
      <w:pPr>
        <w:autoSpaceDE w:val="0"/>
        <w:autoSpaceDN w:val="0"/>
        <w:adjustRightInd w:val="0"/>
        <w:ind w:left="-709"/>
        <w:jc w:val="both"/>
        <w:rPr>
          <w:rFonts w:ascii="Arial" w:hAnsi="Arial" w:cs="Arial"/>
          <w:sz w:val="22"/>
          <w:szCs w:val="22"/>
        </w:rPr>
      </w:pPr>
    </w:p>
    <w:p w:rsidR="00507662" w:rsidRPr="00863288" w:rsidRDefault="00507662" w:rsidP="00863288">
      <w:pPr>
        <w:jc w:val="both"/>
        <w:rPr>
          <w:rFonts w:ascii="Arial" w:hAnsi="Arial" w:cs="Arial"/>
          <w:sz w:val="22"/>
          <w:szCs w:val="22"/>
        </w:rPr>
      </w:pPr>
    </w:p>
    <w:sectPr w:rsidR="00507662" w:rsidRPr="00863288" w:rsidSect="00217DCA">
      <w:pgSz w:w="11906" w:h="16838" w:code="9"/>
      <w:pgMar w:top="2552" w:right="1134" w:bottom="141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3288"/>
    <w:rsid w:val="00010111"/>
    <w:rsid w:val="00101864"/>
    <w:rsid w:val="00217DCA"/>
    <w:rsid w:val="002D0DA1"/>
    <w:rsid w:val="00341F5C"/>
    <w:rsid w:val="00507662"/>
    <w:rsid w:val="00593DF8"/>
    <w:rsid w:val="00597494"/>
    <w:rsid w:val="0064400C"/>
    <w:rsid w:val="00863288"/>
    <w:rsid w:val="008D525D"/>
    <w:rsid w:val="00EB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88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pbs</dc:creator>
  <cp:lastModifiedBy>pbs</cp:lastModifiedBy>
  <cp:revision>1</cp:revision>
  <dcterms:created xsi:type="dcterms:W3CDTF">2012-01-05T21:18:00Z</dcterms:created>
  <dcterms:modified xsi:type="dcterms:W3CDTF">2012-01-05T21:25:00Z</dcterms:modified>
</cp:coreProperties>
</file>